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CDC" w:rsidRDefault="00F30BBD" w:rsidP="00F30BB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53D81">
        <w:rPr>
          <w:b/>
          <w:sz w:val="24"/>
          <w:szCs w:val="24"/>
        </w:rPr>
        <w:t>Instructions for DFPS Caseworkers in Completing Education Decision-Maker</w:t>
      </w:r>
    </w:p>
    <w:p w:rsidR="00F30BBD" w:rsidRDefault="00F30BBD" w:rsidP="00F30BBD">
      <w:pPr>
        <w:jc w:val="center"/>
        <w:rPr>
          <w:b/>
          <w:sz w:val="24"/>
          <w:szCs w:val="24"/>
        </w:rPr>
      </w:pPr>
      <w:r w:rsidRPr="00F30BBD">
        <w:rPr>
          <w:b/>
          <w:sz w:val="24"/>
          <w:szCs w:val="24"/>
        </w:rPr>
        <w:t>Form 2085-E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30BBD" w:rsidTr="00F30BBD">
        <w:tc>
          <w:tcPr>
            <w:tcW w:w="9576" w:type="dxa"/>
          </w:tcPr>
          <w:p w:rsidR="00F30BBD" w:rsidRDefault="00F30BBD" w:rsidP="00F30BBD">
            <w:pPr>
              <w:rPr>
                <w:sz w:val="24"/>
                <w:szCs w:val="24"/>
              </w:rPr>
            </w:pPr>
            <w:r w:rsidRPr="00F14DF0">
              <w:rPr>
                <w:sz w:val="24"/>
                <w:szCs w:val="24"/>
                <w:highlight w:val="yellow"/>
              </w:rPr>
              <w:t xml:space="preserve">Section 1: </w:t>
            </w:r>
            <w:r w:rsidR="00153D81" w:rsidRPr="00F14DF0">
              <w:rPr>
                <w:sz w:val="24"/>
                <w:szCs w:val="24"/>
                <w:highlight w:val="yellow"/>
              </w:rPr>
              <w:t>Authority to make education decisions</w:t>
            </w:r>
          </w:p>
        </w:tc>
      </w:tr>
      <w:tr w:rsidR="00F30BBD" w:rsidTr="00F30BBD">
        <w:tc>
          <w:tcPr>
            <w:tcW w:w="9576" w:type="dxa"/>
          </w:tcPr>
          <w:p w:rsidR="00F30BBD" w:rsidRPr="007044F2" w:rsidRDefault="00F30BBD" w:rsidP="00F30BBD">
            <w:pPr>
              <w:rPr>
                <w:rFonts w:cs="Arial"/>
                <w:szCs w:val="20"/>
              </w:rPr>
            </w:pPr>
          </w:p>
          <w:p w:rsidR="007044F2" w:rsidRDefault="007044F2" w:rsidP="007044F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044F2">
              <w:rPr>
                <w:rFonts w:ascii="Arial" w:hAnsi="Arial" w:cs="Arial"/>
              </w:rPr>
              <w:t>Complete</w:t>
            </w:r>
            <w:r>
              <w:rPr>
                <w:rFonts w:ascii="Arial" w:hAnsi="Arial" w:cs="Arial"/>
              </w:rPr>
              <w:t xml:space="preserve"> the child’s information, including Medicaid number, and court information.</w:t>
            </w:r>
          </w:p>
          <w:p w:rsidR="007044F2" w:rsidRDefault="007044F2" w:rsidP="007044F2">
            <w:pPr>
              <w:pStyle w:val="ListParagraph"/>
              <w:rPr>
                <w:rFonts w:ascii="Arial" w:hAnsi="Arial" w:cs="Arial"/>
              </w:rPr>
            </w:pPr>
          </w:p>
          <w:p w:rsidR="00187C65" w:rsidRDefault="007044F2" w:rsidP="00F30BB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7044F2">
              <w:rPr>
                <w:rFonts w:ascii="Arial" w:hAnsi="Arial" w:cs="Arial"/>
              </w:rPr>
              <w:t>DFPS is authorized by the Texas Family Code, §153.371 to make education decisions on behalf of the children and youth in the</w:t>
            </w:r>
            <w:r w:rsidR="00DF47F5">
              <w:rPr>
                <w:rFonts w:ascii="Arial" w:hAnsi="Arial" w:cs="Arial"/>
              </w:rPr>
              <w:t xml:space="preserve"> agency’s managing</w:t>
            </w:r>
            <w:r w:rsidRPr="007044F2">
              <w:rPr>
                <w:rFonts w:ascii="Arial" w:hAnsi="Arial" w:cs="Arial"/>
              </w:rPr>
              <w:t xml:space="preserve"> conservatorship.  In most circumstances, DFPS delegates this authority to foster par</w:t>
            </w:r>
            <w:r>
              <w:rPr>
                <w:rFonts w:ascii="Arial" w:hAnsi="Arial" w:cs="Arial"/>
              </w:rPr>
              <w:t xml:space="preserve">ents or caregivers of the child as the primary </w:t>
            </w:r>
            <w:r w:rsidR="00925B06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ducation</w:t>
            </w:r>
            <w:r w:rsidR="00925B06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ecision-</w:t>
            </w:r>
            <w:r w:rsidR="00925B06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aker</w:t>
            </w:r>
            <w:r w:rsidR="00187C65">
              <w:rPr>
                <w:rFonts w:ascii="Arial" w:hAnsi="Arial" w:cs="Arial"/>
              </w:rPr>
              <w:t>.</w:t>
            </w:r>
          </w:p>
          <w:p w:rsidR="00DF47F5" w:rsidRPr="00FF0C0C" w:rsidRDefault="00DF47F5" w:rsidP="00FF0C0C">
            <w:pPr>
              <w:pStyle w:val="ListParagraph"/>
              <w:rPr>
                <w:rFonts w:ascii="Arial" w:hAnsi="Arial" w:cs="Arial"/>
              </w:rPr>
            </w:pPr>
          </w:p>
          <w:p w:rsidR="00DF47F5" w:rsidRDefault="00DF47F5" w:rsidP="00F30BB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Caseworker indicates on the form the individual who will be delegated education decision-making for the child. The worker also designates a backup. The worker can be named as the </w:t>
            </w:r>
            <w:r w:rsidR="001E64DF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ecision-</w:t>
            </w:r>
            <w:r w:rsidR="001E64DF">
              <w:rPr>
                <w:rFonts w:ascii="Arial" w:hAnsi="Arial" w:cs="Arial"/>
              </w:rPr>
              <w:t>Maker if no other appropriate person is available. In most cases the worker will be named as the backup</w:t>
            </w:r>
            <w:r>
              <w:rPr>
                <w:rFonts w:ascii="Arial" w:hAnsi="Arial" w:cs="Arial"/>
              </w:rPr>
              <w:t xml:space="preserve">. </w:t>
            </w:r>
          </w:p>
          <w:p w:rsidR="00DF47F5" w:rsidRPr="00FF0C0C" w:rsidRDefault="00DF47F5" w:rsidP="00FF0C0C">
            <w:pPr>
              <w:pStyle w:val="ListParagraph"/>
              <w:rPr>
                <w:rFonts w:ascii="Arial" w:hAnsi="Arial" w:cs="Arial"/>
              </w:rPr>
            </w:pPr>
          </w:p>
          <w:p w:rsidR="00DF47F5" w:rsidRDefault="00DF47F5" w:rsidP="00DF47F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Caseworker </w:t>
            </w:r>
            <w:r w:rsidR="00FF0C0C">
              <w:rPr>
                <w:rFonts w:ascii="Arial" w:hAnsi="Arial" w:cs="Arial"/>
              </w:rPr>
              <w:t xml:space="preserve">can </w:t>
            </w:r>
            <w:r>
              <w:rPr>
                <w:rFonts w:ascii="Arial" w:hAnsi="Arial" w:cs="Arial"/>
              </w:rPr>
              <w:t xml:space="preserve">name </w:t>
            </w:r>
            <w:r w:rsidRPr="00826C85">
              <w:rPr>
                <w:rFonts w:ascii="Arial" w:hAnsi="Arial" w:cs="Arial"/>
              </w:rPr>
              <w:t xml:space="preserve">the </w:t>
            </w:r>
            <w:r w:rsidR="001E64DF">
              <w:rPr>
                <w:rFonts w:ascii="Arial" w:hAnsi="Arial" w:cs="Arial"/>
              </w:rPr>
              <w:t>E</w:t>
            </w:r>
            <w:r w:rsidRPr="00826C85">
              <w:rPr>
                <w:rFonts w:ascii="Arial" w:hAnsi="Arial" w:cs="Arial"/>
              </w:rPr>
              <w:t xml:space="preserve">ducation </w:t>
            </w:r>
            <w:r w:rsidR="001E64DF">
              <w:rPr>
                <w:rFonts w:ascii="Arial" w:hAnsi="Arial" w:cs="Arial"/>
              </w:rPr>
              <w:t>D</w:t>
            </w:r>
            <w:r w:rsidRPr="00826C85">
              <w:rPr>
                <w:rFonts w:ascii="Arial" w:hAnsi="Arial" w:cs="Arial"/>
              </w:rPr>
              <w:t>ecision-</w:t>
            </w:r>
            <w:r w:rsidR="001E64DF">
              <w:rPr>
                <w:rFonts w:ascii="Arial" w:hAnsi="Arial" w:cs="Arial"/>
              </w:rPr>
              <w:t>M</w:t>
            </w:r>
            <w:r w:rsidRPr="00826C85">
              <w:rPr>
                <w:rFonts w:ascii="Arial" w:hAnsi="Arial" w:cs="Arial"/>
              </w:rPr>
              <w:t>aker at the Show Cause hearing</w:t>
            </w:r>
            <w:r>
              <w:rPr>
                <w:rFonts w:ascii="Arial" w:hAnsi="Arial" w:cs="Arial"/>
              </w:rPr>
              <w:t xml:space="preserve"> </w:t>
            </w:r>
            <w:r w:rsidRPr="00826C85">
              <w:rPr>
                <w:rFonts w:ascii="Arial" w:hAnsi="Arial" w:cs="Arial"/>
              </w:rPr>
              <w:t xml:space="preserve">at the same time </w:t>
            </w:r>
            <w:r>
              <w:rPr>
                <w:rFonts w:ascii="Arial" w:hAnsi="Arial" w:cs="Arial"/>
              </w:rPr>
              <w:t xml:space="preserve">the </w:t>
            </w:r>
            <w:r w:rsidRPr="00826C85">
              <w:rPr>
                <w:rFonts w:ascii="Arial" w:hAnsi="Arial" w:cs="Arial"/>
              </w:rPr>
              <w:t>Medical Consenter</w:t>
            </w:r>
            <w:r w:rsidR="008910B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is named</w:t>
            </w:r>
            <w:r w:rsidRPr="00826C85">
              <w:rPr>
                <w:rFonts w:ascii="Arial" w:hAnsi="Arial" w:cs="Arial"/>
              </w:rPr>
              <w:t>.</w:t>
            </w:r>
          </w:p>
          <w:p w:rsidR="008910B2" w:rsidRPr="00FF0C0C" w:rsidRDefault="008910B2" w:rsidP="00FF0C0C">
            <w:pPr>
              <w:pStyle w:val="ListParagraph"/>
              <w:rPr>
                <w:rFonts w:ascii="Arial" w:hAnsi="Arial" w:cs="Arial"/>
              </w:rPr>
            </w:pPr>
          </w:p>
          <w:p w:rsidR="008910B2" w:rsidRDefault="008910B2" w:rsidP="00DF47F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Caseworker indicates who the court has named as a surrogate decision-maker for children and youth eligible for special education services, if applicable. </w:t>
            </w:r>
          </w:p>
          <w:p w:rsidR="00DF47F5" w:rsidRDefault="00DF47F5" w:rsidP="00FF0C0C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8910B2" w:rsidRPr="008910B2" w:rsidRDefault="008910B2" w:rsidP="008910B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8910B2">
              <w:rPr>
                <w:rFonts w:ascii="Arial" w:hAnsi="Arial" w:cs="Arial"/>
              </w:rPr>
              <w:t xml:space="preserve">Caseworkers must file Education Decision-Maker Form 2085-E at the Adversary Hearing for all children and youth entering DFPS conservatorship on or after September 1, 2013. If, at the Adversary Hearing, the court names a different </w:t>
            </w:r>
            <w:r w:rsidR="001E64DF">
              <w:rPr>
                <w:rFonts w:ascii="Arial" w:hAnsi="Arial" w:cs="Arial"/>
              </w:rPr>
              <w:t>E</w:t>
            </w:r>
            <w:r w:rsidRPr="008910B2">
              <w:rPr>
                <w:rFonts w:ascii="Arial" w:hAnsi="Arial" w:cs="Arial"/>
              </w:rPr>
              <w:t xml:space="preserve">ducation </w:t>
            </w:r>
            <w:r w:rsidR="001E64DF">
              <w:rPr>
                <w:rFonts w:ascii="Arial" w:hAnsi="Arial" w:cs="Arial"/>
              </w:rPr>
              <w:t>D</w:t>
            </w:r>
            <w:r w:rsidRPr="008910B2">
              <w:rPr>
                <w:rFonts w:ascii="Arial" w:hAnsi="Arial" w:cs="Arial"/>
              </w:rPr>
              <w:t>ecision-</w:t>
            </w:r>
            <w:r w:rsidR="001E64DF">
              <w:rPr>
                <w:rFonts w:ascii="Arial" w:hAnsi="Arial" w:cs="Arial"/>
              </w:rPr>
              <w:t>M</w:t>
            </w:r>
            <w:r w:rsidRPr="008910B2">
              <w:rPr>
                <w:rFonts w:ascii="Arial" w:hAnsi="Arial" w:cs="Arial"/>
              </w:rPr>
              <w:t xml:space="preserve">aker or surrogate parent, </w:t>
            </w:r>
            <w:r>
              <w:rPr>
                <w:rFonts w:ascii="Arial" w:hAnsi="Arial" w:cs="Arial"/>
              </w:rPr>
              <w:t>amend</w:t>
            </w:r>
            <w:r w:rsidRPr="008910B2">
              <w:rPr>
                <w:rFonts w:ascii="Arial" w:hAnsi="Arial" w:cs="Arial"/>
              </w:rPr>
              <w:t xml:space="preserve"> the Education Decision-Maker Form 2085-E </w:t>
            </w:r>
            <w:r>
              <w:rPr>
                <w:rFonts w:ascii="Arial" w:hAnsi="Arial" w:cs="Arial"/>
              </w:rPr>
              <w:t xml:space="preserve">and file the amended form </w:t>
            </w:r>
            <w:r w:rsidRPr="008910B2">
              <w:rPr>
                <w:rFonts w:ascii="Arial" w:hAnsi="Arial" w:cs="Arial"/>
              </w:rPr>
              <w:t>with the court within five days of the Adversary Hearing.</w:t>
            </w:r>
          </w:p>
          <w:p w:rsidR="008910B2" w:rsidRPr="007044F2" w:rsidRDefault="008910B2" w:rsidP="007044F2">
            <w:pPr>
              <w:pStyle w:val="ListParagraph"/>
              <w:rPr>
                <w:rFonts w:ascii="Arial" w:hAnsi="Arial" w:cs="Arial"/>
              </w:rPr>
            </w:pPr>
          </w:p>
          <w:p w:rsidR="007044F2" w:rsidRPr="007044F2" w:rsidRDefault="008910B2" w:rsidP="00FF0C0C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Note: At any hearing,</w:t>
            </w:r>
            <w:r w:rsidR="001E64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</w:t>
            </w:r>
            <w:r w:rsidR="00187C65">
              <w:rPr>
                <w:rFonts w:ascii="Arial" w:hAnsi="Arial" w:cs="Arial"/>
              </w:rPr>
              <w:t xml:space="preserve">he court can </w:t>
            </w:r>
            <w:r>
              <w:rPr>
                <w:rFonts w:ascii="Arial" w:hAnsi="Arial" w:cs="Arial"/>
              </w:rPr>
              <w:t xml:space="preserve">choose to </w:t>
            </w:r>
            <w:r w:rsidR="00187C65">
              <w:rPr>
                <w:rFonts w:ascii="Arial" w:hAnsi="Arial" w:cs="Arial"/>
              </w:rPr>
              <w:t xml:space="preserve">appoint an </w:t>
            </w:r>
            <w:r w:rsidR="001E64DF">
              <w:rPr>
                <w:rFonts w:ascii="Arial" w:hAnsi="Arial" w:cs="Arial"/>
              </w:rPr>
              <w:t>E</w:t>
            </w:r>
            <w:r w:rsidR="00187C65">
              <w:rPr>
                <w:rFonts w:ascii="Arial" w:hAnsi="Arial" w:cs="Arial"/>
              </w:rPr>
              <w:t>ducation</w:t>
            </w:r>
            <w:r>
              <w:rPr>
                <w:rFonts w:ascii="Arial" w:hAnsi="Arial" w:cs="Arial"/>
              </w:rPr>
              <w:t xml:space="preserve"> </w:t>
            </w:r>
            <w:r w:rsidR="001E64DF">
              <w:rPr>
                <w:rFonts w:ascii="Arial" w:hAnsi="Arial" w:cs="Arial"/>
              </w:rPr>
              <w:t>D</w:t>
            </w:r>
            <w:r w:rsidR="00187C65">
              <w:rPr>
                <w:rFonts w:ascii="Arial" w:hAnsi="Arial" w:cs="Arial"/>
              </w:rPr>
              <w:t>ecision-</w:t>
            </w:r>
            <w:r w:rsidR="001E64DF">
              <w:rPr>
                <w:rFonts w:ascii="Arial" w:hAnsi="Arial" w:cs="Arial"/>
              </w:rPr>
              <w:t>M</w:t>
            </w:r>
            <w:r w:rsidR="00187C65">
              <w:rPr>
                <w:rFonts w:ascii="Arial" w:hAnsi="Arial" w:cs="Arial"/>
              </w:rPr>
              <w:t>aker</w:t>
            </w:r>
            <w:r>
              <w:rPr>
                <w:rFonts w:ascii="Arial" w:hAnsi="Arial" w:cs="Arial"/>
              </w:rPr>
              <w:t xml:space="preserve"> instead of granting DFPS the authority to do so. This person may be someone other than a foster parent or caregiver, such as a </w:t>
            </w:r>
            <w:r w:rsidR="00187C65">
              <w:rPr>
                <w:rFonts w:ascii="Arial" w:hAnsi="Arial" w:cs="Arial"/>
              </w:rPr>
              <w:t xml:space="preserve">CASA representative, family relative or friend, or child advocate.  Depending on the Child’s Plan of Service, the court may </w:t>
            </w:r>
            <w:r w:rsidR="001E64DF">
              <w:rPr>
                <w:rFonts w:ascii="Arial" w:hAnsi="Arial" w:cs="Arial"/>
              </w:rPr>
              <w:t xml:space="preserve">also choose to </w:t>
            </w:r>
            <w:r w:rsidR="00187C65">
              <w:rPr>
                <w:rFonts w:ascii="Arial" w:hAnsi="Arial" w:cs="Arial"/>
              </w:rPr>
              <w:t xml:space="preserve">give all or limited education decision rights to the birth family. </w:t>
            </w:r>
          </w:p>
          <w:p w:rsidR="00826C85" w:rsidRPr="00826C85" w:rsidRDefault="00826C85" w:rsidP="00826C85">
            <w:pPr>
              <w:pStyle w:val="ListParagraph"/>
              <w:rPr>
                <w:rFonts w:ascii="Arial" w:hAnsi="Arial" w:cs="Arial"/>
              </w:rPr>
            </w:pPr>
          </w:p>
          <w:p w:rsidR="00826C85" w:rsidRPr="00826C85" w:rsidRDefault="00826C85" w:rsidP="00826C8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Caseworkers must notify all persons entitled to notice under Texas Family Code §263.301, including the attorney ad litem, guardian ad litem, </w:t>
            </w:r>
            <w:r w:rsidR="00BA58C1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>CASA representative</w:t>
            </w:r>
            <w:r w:rsidR="00BA58C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within </w:t>
            </w:r>
            <w:r w:rsidR="00BA58C1">
              <w:rPr>
                <w:rFonts w:ascii="Arial" w:hAnsi="Arial" w:cs="Arial"/>
              </w:rPr>
              <w:t>five</w:t>
            </w:r>
            <w:r>
              <w:rPr>
                <w:rFonts w:ascii="Arial" w:hAnsi="Arial" w:cs="Arial"/>
              </w:rPr>
              <w:t xml:space="preserve"> days of the Adversary Hearing.</w:t>
            </w:r>
            <w:r w:rsidR="00080C25">
              <w:rPr>
                <w:rFonts w:ascii="Arial" w:hAnsi="Arial" w:cs="Arial"/>
              </w:rPr>
              <w:t xml:space="preserve">  A copy of the Education Decision-Maker Form 2085-E must be maintained in the </w:t>
            </w:r>
            <w:r w:rsidR="001E64DF">
              <w:rPr>
                <w:rFonts w:ascii="Arial" w:hAnsi="Arial" w:cs="Arial"/>
              </w:rPr>
              <w:t xml:space="preserve">child’s </w:t>
            </w:r>
            <w:r w:rsidR="00080C25">
              <w:rPr>
                <w:rFonts w:ascii="Arial" w:hAnsi="Arial" w:cs="Arial"/>
              </w:rPr>
              <w:t>case file and the child’s Education Portfolio.</w:t>
            </w:r>
          </w:p>
          <w:p w:rsidR="00153D81" w:rsidRDefault="00153D81" w:rsidP="00F30BBD">
            <w:pPr>
              <w:rPr>
                <w:sz w:val="24"/>
                <w:szCs w:val="24"/>
              </w:rPr>
            </w:pPr>
          </w:p>
        </w:tc>
      </w:tr>
      <w:tr w:rsidR="00F30BBD" w:rsidTr="00F30BBD">
        <w:tc>
          <w:tcPr>
            <w:tcW w:w="9576" w:type="dxa"/>
          </w:tcPr>
          <w:p w:rsidR="00F30BBD" w:rsidRDefault="00153D81" w:rsidP="006739C5">
            <w:pPr>
              <w:rPr>
                <w:sz w:val="24"/>
                <w:szCs w:val="24"/>
              </w:rPr>
            </w:pPr>
            <w:r w:rsidRPr="00153D81">
              <w:rPr>
                <w:sz w:val="24"/>
                <w:szCs w:val="24"/>
                <w:highlight w:val="yellow"/>
              </w:rPr>
              <w:t xml:space="preserve">Section 2: </w:t>
            </w:r>
            <w:r w:rsidR="00B37A1C">
              <w:rPr>
                <w:sz w:val="24"/>
                <w:szCs w:val="24"/>
                <w:highlight w:val="yellow"/>
              </w:rPr>
              <w:t>Special Education Rights and Responsibilities</w:t>
            </w:r>
            <w:r w:rsidR="00B37A1C" w:rsidRPr="00B37A1C">
              <w:rPr>
                <w:sz w:val="24"/>
                <w:szCs w:val="24"/>
                <w:highlight w:val="yellow"/>
              </w:rPr>
              <w:t>, if applicable</w:t>
            </w:r>
          </w:p>
        </w:tc>
      </w:tr>
      <w:tr w:rsidR="00F90964" w:rsidTr="00F30BBD">
        <w:tc>
          <w:tcPr>
            <w:tcW w:w="9576" w:type="dxa"/>
          </w:tcPr>
          <w:p w:rsidR="00F90964" w:rsidRDefault="00F90964" w:rsidP="006739C5">
            <w:pPr>
              <w:rPr>
                <w:sz w:val="24"/>
                <w:szCs w:val="24"/>
                <w:highlight w:val="yellow"/>
              </w:rPr>
            </w:pPr>
          </w:p>
          <w:p w:rsidR="00925B06" w:rsidRDefault="00925B06" w:rsidP="00925B06">
            <w:pPr>
              <w:rPr>
                <w:rFonts w:ascii="Calibri" w:hAnsi="Calibri" w:cs="Calibri"/>
                <w:color w:val="002060"/>
                <w:sz w:val="22"/>
              </w:rPr>
            </w:pPr>
            <w:r w:rsidRPr="0013502F">
              <w:rPr>
                <w:rFonts w:cs="Arial"/>
                <w:color w:val="000000"/>
                <w:szCs w:val="20"/>
              </w:rPr>
              <w:t>If the student receives special education services, the school or the court may appoint a “surrogate parent” for purposes of making special education decisions. Federal law prohibits an employee of DFPS, the Texas Education Agency, a school district, or a residential facility from serving as a surrogate parent or making decisions related to a student’s special education eligibility or services. The surrogate must confer with the DFPS caseworker and other individuals involved with the child, however, in making education-related decisions.</w:t>
            </w:r>
            <w:r>
              <w:rPr>
                <w:rFonts w:ascii="Calibri" w:hAnsi="Calibri" w:cs="Calibri"/>
                <w:color w:val="002060"/>
                <w:sz w:val="22"/>
              </w:rPr>
              <w:t xml:space="preserve"> </w:t>
            </w:r>
          </w:p>
          <w:p w:rsidR="00B37A1C" w:rsidRDefault="00B37A1C" w:rsidP="00B37A1C">
            <w:pPr>
              <w:rPr>
                <w:szCs w:val="20"/>
              </w:rPr>
            </w:pPr>
          </w:p>
          <w:p w:rsidR="00BA58C1" w:rsidRDefault="00BA58C1" w:rsidP="00B37A1C">
            <w:pPr>
              <w:rPr>
                <w:szCs w:val="20"/>
              </w:rPr>
            </w:pPr>
            <w:r>
              <w:rPr>
                <w:szCs w:val="20"/>
              </w:rPr>
              <w:t xml:space="preserve">Indicate who the court or the school has designated as the surrogate parent, if applicable, and if known at the time of the hearing. </w:t>
            </w:r>
          </w:p>
          <w:p w:rsidR="00F90964" w:rsidRPr="00153D81" w:rsidRDefault="00F90964" w:rsidP="00BA58C1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F56CDC" w:rsidRDefault="00F56CDC">
      <w:pPr>
        <w:sectPr w:rsidR="00F56CDC" w:rsidSect="00F14DF0">
          <w:footerReference w:type="default" r:id="rId9"/>
          <w:pgSz w:w="12240" w:h="15840" w:code="1"/>
          <w:pgMar w:top="806" w:right="1440" w:bottom="806" w:left="1440" w:header="720" w:footer="360" w:gutter="0"/>
          <w:cols w:space="720"/>
          <w:docGrid w:linePitch="360"/>
        </w:sectPr>
      </w:pPr>
    </w:p>
    <w:p w:rsidR="00F56CDC" w:rsidRDefault="00F56C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90964" w:rsidTr="00F30BBD">
        <w:tc>
          <w:tcPr>
            <w:tcW w:w="9576" w:type="dxa"/>
          </w:tcPr>
          <w:p w:rsidR="00F90964" w:rsidRDefault="00F90964" w:rsidP="00043185">
            <w:pPr>
              <w:rPr>
                <w:sz w:val="24"/>
                <w:szCs w:val="24"/>
              </w:rPr>
            </w:pPr>
            <w:r w:rsidRPr="00153D81">
              <w:rPr>
                <w:sz w:val="24"/>
                <w:szCs w:val="24"/>
                <w:highlight w:val="yellow"/>
              </w:rPr>
              <w:t xml:space="preserve">Section </w:t>
            </w:r>
            <w:r>
              <w:rPr>
                <w:sz w:val="24"/>
                <w:szCs w:val="24"/>
                <w:highlight w:val="yellow"/>
              </w:rPr>
              <w:t>3</w:t>
            </w:r>
            <w:r w:rsidR="00B37A1C">
              <w:rPr>
                <w:sz w:val="24"/>
                <w:szCs w:val="24"/>
                <w:highlight w:val="yellow"/>
              </w:rPr>
              <w:t>:</w:t>
            </w:r>
            <w:r>
              <w:rPr>
                <w:sz w:val="24"/>
                <w:szCs w:val="24"/>
                <w:highlight w:val="yellow"/>
              </w:rPr>
              <w:t xml:space="preserve"> Education </w:t>
            </w:r>
            <w:r w:rsidR="00B37A1C">
              <w:rPr>
                <w:sz w:val="24"/>
                <w:szCs w:val="24"/>
                <w:highlight w:val="yellow"/>
              </w:rPr>
              <w:t xml:space="preserve">Decision-Maker </w:t>
            </w:r>
            <w:r w:rsidRPr="00153D81">
              <w:rPr>
                <w:sz w:val="24"/>
                <w:szCs w:val="24"/>
                <w:highlight w:val="yellow"/>
              </w:rPr>
              <w:t>Rights and Responsibilities</w:t>
            </w:r>
          </w:p>
        </w:tc>
      </w:tr>
      <w:tr w:rsidR="00F90964" w:rsidTr="00F30BBD">
        <w:tc>
          <w:tcPr>
            <w:tcW w:w="9576" w:type="dxa"/>
          </w:tcPr>
          <w:p w:rsidR="00F90964" w:rsidRDefault="00F90964" w:rsidP="00F90964">
            <w:pPr>
              <w:rPr>
                <w:szCs w:val="20"/>
              </w:rPr>
            </w:pPr>
          </w:p>
          <w:p w:rsidR="00933DCE" w:rsidRPr="0013502F" w:rsidRDefault="00B37A1C" w:rsidP="00933DCE">
            <w:pPr>
              <w:rPr>
                <w:rFonts w:cs="Arial"/>
                <w:szCs w:val="20"/>
              </w:rPr>
            </w:pPr>
            <w:r w:rsidRPr="0013502F">
              <w:rPr>
                <w:szCs w:val="20"/>
              </w:rPr>
              <w:t xml:space="preserve">This section identifies the specific rights and responsibilities of the </w:t>
            </w:r>
            <w:r w:rsidR="00925B06">
              <w:rPr>
                <w:szCs w:val="20"/>
              </w:rPr>
              <w:t xml:space="preserve">person DFPS has named as the </w:t>
            </w:r>
            <w:r w:rsidRPr="0013502F">
              <w:rPr>
                <w:szCs w:val="20"/>
              </w:rPr>
              <w:t xml:space="preserve">Education Decision-Maker for the </w:t>
            </w:r>
            <w:r w:rsidR="0013502F" w:rsidRPr="0013502F">
              <w:rPr>
                <w:szCs w:val="20"/>
              </w:rPr>
              <w:t>child in DFPS conservatorship.</w:t>
            </w:r>
            <w:r w:rsidR="00933DCE" w:rsidRPr="0013502F">
              <w:rPr>
                <w:rFonts w:cs="Arial"/>
                <w:szCs w:val="20"/>
              </w:rPr>
              <w:t xml:space="preserve">  </w:t>
            </w:r>
          </w:p>
          <w:p w:rsidR="0013502F" w:rsidRPr="00933DCE" w:rsidRDefault="0013502F" w:rsidP="00925B06">
            <w:pPr>
              <w:rPr>
                <w:rFonts w:ascii="Calibri" w:hAnsi="Calibri" w:cs="Calibri"/>
                <w:color w:val="002060"/>
                <w:sz w:val="22"/>
              </w:rPr>
            </w:pPr>
          </w:p>
        </w:tc>
      </w:tr>
      <w:tr w:rsidR="00F90964" w:rsidTr="00F30BBD">
        <w:tc>
          <w:tcPr>
            <w:tcW w:w="9576" w:type="dxa"/>
          </w:tcPr>
          <w:p w:rsidR="00F90964" w:rsidRPr="00F90964" w:rsidRDefault="00F90964" w:rsidP="00F90964">
            <w:pPr>
              <w:rPr>
                <w:sz w:val="24"/>
                <w:szCs w:val="24"/>
                <w:highlight w:val="yellow"/>
              </w:rPr>
            </w:pPr>
            <w:r w:rsidRPr="00F90964">
              <w:rPr>
                <w:sz w:val="24"/>
                <w:szCs w:val="24"/>
                <w:highlight w:val="yellow"/>
              </w:rPr>
              <w:t>Section 4: Biological Family Rights and Responsibilities, if applicable</w:t>
            </w:r>
          </w:p>
        </w:tc>
      </w:tr>
      <w:tr w:rsidR="00F90964" w:rsidTr="00F30BBD">
        <w:tc>
          <w:tcPr>
            <w:tcW w:w="9576" w:type="dxa"/>
          </w:tcPr>
          <w:p w:rsidR="00F90964" w:rsidRDefault="00F90964" w:rsidP="00F90964">
            <w:pPr>
              <w:rPr>
                <w:sz w:val="24"/>
                <w:szCs w:val="24"/>
              </w:rPr>
            </w:pPr>
          </w:p>
          <w:p w:rsidR="00F90964" w:rsidRPr="00B01F79" w:rsidRDefault="00F90964" w:rsidP="00F90964">
            <w:pPr>
              <w:rPr>
                <w:szCs w:val="20"/>
              </w:rPr>
            </w:pPr>
            <w:r w:rsidRPr="00B01F79">
              <w:rPr>
                <w:szCs w:val="20"/>
              </w:rPr>
              <w:lastRenderedPageBreak/>
              <w:t>In some circumstances, the court may authorize the birth parents to retain certain education decision–making rights.  Please complete this section as directed by the court or mark it as “Not Applicable”.</w:t>
            </w:r>
          </w:p>
          <w:p w:rsidR="00F90964" w:rsidRDefault="00F90964" w:rsidP="00B01F79">
            <w:pPr>
              <w:rPr>
                <w:sz w:val="24"/>
                <w:szCs w:val="24"/>
              </w:rPr>
            </w:pPr>
          </w:p>
        </w:tc>
      </w:tr>
      <w:tr w:rsidR="00F30BBD" w:rsidTr="00F30BBD">
        <w:tc>
          <w:tcPr>
            <w:tcW w:w="9576" w:type="dxa"/>
          </w:tcPr>
          <w:p w:rsidR="00F30BBD" w:rsidRDefault="00153D81" w:rsidP="00F30BBD">
            <w:pPr>
              <w:rPr>
                <w:sz w:val="24"/>
                <w:szCs w:val="24"/>
              </w:rPr>
            </w:pPr>
            <w:r w:rsidRPr="00153D81">
              <w:rPr>
                <w:sz w:val="24"/>
                <w:szCs w:val="24"/>
                <w:highlight w:val="yellow"/>
              </w:rPr>
              <w:lastRenderedPageBreak/>
              <w:t>Section 5: Caseworker Rights and Responsibilities</w:t>
            </w:r>
          </w:p>
        </w:tc>
      </w:tr>
      <w:tr w:rsidR="00F30BBD" w:rsidTr="00F30BBD">
        <w:tc>
          <w:tcPr>
            <w:tcW w:w="9576" w:type="dxa"/>
          </w:tcPr>
          <w:p w:rsidR="00F30BBD" w:rsidRDefault="00F30BBD" w:rsidP="00F30BBD">
            <w:pPr>
              <w:rPr>
                <w:sz w:val="24"/>
                <w:szCs w:val="24"/>
                <w:highlight w:val="yellow"/>
              </w:rPr>
            </w:pPr>
          </w:p>
          <w:p w:rsidR="00BE28A9" w:rsidRPr="00BE28A9" w:rsidRDefault="00B01F79" w:rsidP="00BE28A9">
            <w:pPr>
              <w:rPr>
                <w:rFonts w:cs="Arial"/>
                <w:szCs w:val="20"/>
              </w:rPr>
            </w:pPr>
            <w:r w:rsidRPr="00BE28A9">
              <w:rPr>
                <w:rFonts w:cs="Arial"/>
                <w:szCs w:val="20"/>
              </w:rPr>
              <w:t xml:space="preserve">This section identifies the rights and responsibilities of the DFPS caseworker as it relates to ensuring the best educational outcomes for children in DFPS conservatorship.  </w:t>
            </w:r>
          </w:p>
          <w:p w:rsidR="00BE28A9" w:rsidRDefault="00925B06" w:rsidP="00BE28A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B01F79" w:rsidRPr="00BE28A9">
              <w:rPr>
                <w:rFonts w:ascii="Arial" w:hAnsi="Arial" w:cs="Arial"/>
              </w:rPr>
              <w:t>he DFPS caseworker names the Education Decision-Maker</w:t>
            </w:r>
            <w:r w:rsidR="00BE28A9">
              <w:rPr>
                <w:rFonts w:ascii="Arial" w:hAnsi="Arial" w:cs="Arial"/>
              </w:rPr>
              <w:t>.</w:t>
            </w:r>
          </w:p>
          <w:p w:rsidR="00BE28A9" w:rsidRPr="00BE28A9" w:rsidRDefault="00BE28A9" w:rsidP="00BE28A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BE28A9">
              <w:rPr>
                <w:rFonts w:ascii="Arial" w:hAnsi="Arial" w:cs="Arial"/>
              </w:rPr>
              <w:t>The caseworker must file the Education Decision-Maker Form 2085-E</w:t>
            </w:r>
            <w:r>
              <w:rPr>
                <w:rFonts w:ascii="Arial" w:hAnsi="Arial" w:cs="Arial"/>
              </w:rPr>
              <w:t xml:space="preserve"> with the court at the Adversary Hearing. </w:t>
            </w:r>
          </w:p>
          <w:p w:rsidR="00B01F79" w:rsidRDefault="00B01F79" w:rsidP="00BE28A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BE28A9">
              <w:rPr>
                <w:rFonts w:ascii="Arial" w:hAnsi="Arial" w:cs="Arial"/>
              </w:rPr>
              <w:t>The caseworker is responsible</w:t>
            </w:r>
            <w:r w:rsidR="00BE28A9" w:rsidRPr="00BE28A9">
              <w:rPr>
                <w:rFonts w:ascii="Arial" w:hAnsi="Arial" w:cs="Arial"/>
              </w:rPr>
              <w:t xml:space="preserve"> for notifying all persons entitled to receive notice within </w:t>
            </w:r>
            <w:r w:rsidR="00925B06">
              <w:rPr>
                <w:rFonts w:ascii="Arial" w:hAnsi="Arial" w:cs="Arial"/>
              </w:rPr>
              <w:t>five</w:t>
            </w:r>
            <w:r w:rsidR="00BE28A9" w:rsidRPr="00BE28A9">
              <w:rPr>
                <w:rFonts w:ascii="Arial" w:hAnsi="Arial" w:cs="Arial"/>
              </w:rPr>
              <w:t xml:space="preserve"> days of the Adversary Hearing.</w:t>
            </w:r>
          </w:p>
          <w:p w:rsidR="00BE28A9" w:rsidRPr="00BE28A9" w:rsidRDefault="00BE28A9" w:rsidP="00BE28A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the child changes placement or changes school, there may be a change in the Education Decision-Maker.  File all updated changes with the court and notify all persons entitled to receive notification within </w:t>
            </w:r>
            <w:r w:rsidR="00925B06">
              <w:rPr>
                <w:rFonts w:ascii="Arial" w:hAnsi="Arial" w:cs="Arial"/>
              </w:rPr>
              <w:t>five</w:t>
            </w:r>
            <w:r>
              <w:rPr>
                <w:rFonts w:ascii="Arial" w:hAnsi="Arial" w:cs="Arial"/>
              </w:rPr>
              <w:t xml:space="preserve"> days of the change. Caseworkers are to retain an updated copy in the child’s case file and Education Portfolio.</w:t>
            </w:r>
          </w:p>
          <w:p w:rsidR="00B01F79" w:rsidRPr="00B01F79" w:rsidRDefault="00B01F79" w:rsidP="00F30BBD">
            <w:pPr>
              <w:rPr>
                <w:szCs w:val="20"/>
                <w:highlight w:val="yellow"/>
              </w:rPr>
            </w:pPr>
          </w:p>
        </w:tc>
      </w:tr>
      <w:tr w:rsidR="00153D81" w:rsidTr="00F30BBD">
        <w:tc>
          <w:tcPr>
            <w:tcW w:w="9576" w:type="dxa"/>
          </w:tcPr>
          <w:p w:rsidR="00153D81" w:rsidRPr="00153D81" w:rsidRDefault="00F90964" w:rsidP="00F30BBD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Section 6</w:t>
            </w:r>
            <w:r w:rsidR="00153D81" w:rsidRPr="00153D81">
              <w:rPr>
                <w:sz w:val="24"/>
                <w:szCs w:val="24"/>
                <w:highlight w:val="yellow"/>
              </w:rPr>
              <w:t>: School Responsibilities</w:t>
            </w:r>
          </w:p>
        </w:tc>
      </w:tr>
      <w:tr w:rsidR="00153D81" w:rsidTr="00F30BBD">
        <w:tc>
          <w:tcPr>
            <w:tcW w:w="9576" w:type="dxa"/>
          </w:tcPr>
          <w:p w:rsidR="00153D81" w:rsidRDefault="00153D81" w:rsidP="00F30BBD">
            <w:pPr>
              <w:rPr>
                <w:sz w:val="24"/>
                <w:szCs w:val="24"/>
              </w:rPr>
            </w:pPr>
          </w:p>
          <w:p w:rsidR="00447480" w:rsidRPr="00447480" w:rsidRDefault="00447480" w:rsidP="0044748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47480">
              <w:rPr>
                <w:rFonts w:ascii="Arial" w:hAnsi="Arial" w:cs="Arial"/>
              </w:rPr>
              <w:t xml:space="preserve">This section serves as a reminder to school staff that all records are to be considered confidential and stored in a privacy-protected area.  </w:t>
            </w:r>
          </w:p>
          <w:p w:rsidR="00447480" w:rsidRPr="00447480" w:rsidRDefault="00447480" w:rsidP="0044748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47480">
              <w:rPr>
                <w:rFonts w:ascii="Arial" w:hAnsi="Arial" w:cs="Arial"/>
              </w:rPr>
              <w:t xml:space="preserve">Caseworkers have the authority to access all school records. </w:t>
            </w:r>
          </w:p>
          <w:p w:rsidR="00447480" w:rsidRPr="00447480" w:rsidRDefault="00447480" w:rsidP="00447480">
            <w:pPr>
              <w:pStyle w:val="ListParagraph"/>
              <w:numPr>
                <w:ilvl w:val="0"/>
                <w:numId w:val="11"/>
              </w:numPr>
            </w:pPr>
            <w:r w:rsidRPr="00447480">
              <w:rPr>
                <w:rFonts w:ascii="Arial" w:hAnsi="Arial" w:cs="Arial"/>
              </w:rPr>
              <w:t>School records must be transferred within 10 days when a student changes school districts</w:t>
            </w:r>
            <w:r w:rsidRPr="00447480">
              <w:t>.</w:t>
            </w:r>
          </w:p>
          <w:p w:rsidR="00447480" w:rsidRDefault="00447480" w:rsidP="00F30BBD">
            <w:pPr>
              <w:rPr>
                <w:sz w:val="24"/>
                <w:szCs w:val="24"/>
              </w:rPr>
            </w:pPr>
          </w:p>
        </w:tc>
      </w:tr>
      <w:tr w:rsidR="00153D81" w:rsidTr="00F30BBD">
        <w:tc>
          <w:tcPr>
            <w:tcW w:w="9576" w:type="dxa"/>
          </w:tcPr>
          <w:p w:rsidR="00153D81" w:rsidRDefault="005826DD" w:rsidP="00582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Section 7</w:t>
            </w:r>
            <w:r w:rsidR="00153D81" w:rsidRPr="00153D81">
              <w:rPr>
                <w:sz w:val="24"/>
                <w:szCs w:val="24"/>
                <w:highlight w:val="yellow"/>
              </w:rPr>
              <w:t xml:space="preserve">: </w:t>
            </w:r>
            <w:r w:rsidRPr="005826DD">
              <w:rPr>
                <w:sz w:val="24"/>
                <w:szCs w:val="24"/>
                <w:highlight w:val="yellow"/>
              </w:rPr>
              <w:t>Acknowledgements, Agreement and Signatures</w:t>
            </w:r>
          </w:p>
        </w:tc>
      </w:tr>
      <w:tr w:rsidR="000F2CDE" w:rsidTr="00F30BBD">
        <w:tc>
          <w:tcPr>
            <w:tcW w:w="9576" w:type="dxa"/>
          </w:tcPr>
          <w:p w:rsidR="000F2CDE" w:rsidRDefault="000F2CDE" w:rsidP="00F30BBD">
            <w:pPr>
              <w:rPr>
                <w:sz w:val="24"/>
                <w:szCs w:val="24"/>
                <w:highlight w:val="yellow"/>
              </w:rPr>
            </w:pPr>
          </w:p>
          <w:p w:rsidR="00440950" w:rsidRDefault="00440950" w:rsidP="0044095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80C25">
              <w:rPr>
                <w:rFonts w:ascii="Arial" w:hAnsi="Arial" w:cs="Arial"/>
              </w:rPr>
              <w:t xml:space="preserve">This section provides signatory lines for the Education Decision-Maker, with a backup signature for the spouse of the foster parent or other named person.  </w:t>
            </w:r>
          </w:p>
          <w:p w:rsidR="00440950" w:rsidRPr="00080C25" w:rsidRDefault="00440950" w:rsidP="00440950">
            <w:pPr>
              <w:pStyle w:val="ListParagraph"/>
              <w:rPr>
                <w:rFonts w:ascii="Arial" w:hAnsi="Arial" w:cs="Arial"/>
              </w:rPr>
            </w:pPr>
          </w:p>
          <w:p w:rsidR="00440950" w:rsidRPr="00080C25" w:rsidRDefault="00440950" w:rsidP="0044095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080C25">
              <w:rPr>
                <w:rFonts w:ascii="Arial" w:hAnsi="Arial" w:cs="Arial"/>
              </w:rPr>
              <w:t xml:space="preserve">There are also signatory lines to be completed by the caseworker, the caseworker’s supervisor, and the child’s daily caregiver if different from the Education Decision-Maker. </w:t>
            </w:r>
            <w:r w:rsidR="00925B06">
              <w:rPr>
                <w:rFonts w:ascii="Arial" w:hAnsi="Arial" w:cs="Arial"/>
              </w:rPr>
              <w:t xml:space="preserve"> Although not allowed to make special education decisions, a </w:t>
            </w:r>
            <w:r>
              <w:rPr>
                <w:rFonts w:ascii="Arial" w:hAnsi="Arial" w:cs="Arial"/>
              </w:rPr>
              <w:t xml:space="preserve">residential </w:t>
            </w:r>
            <w:r w:rsidRPr="00080C25">
              <w:rPr>
                <w:rFonts w:ascii="Arial" w:hAnsi="Arial" w:cs="Arial"/>
              </w:rPr>
              <w:t>facility staff member</w:t>
            </w:r>
            <w:r w:rsidR="00925B06">
              <w:rPr>
                <w:rFonts w:ascii="Arial" w:hAnsi="Arial" w:cs="Arial"/>
              </w:rPr>
              <w:t xml:space="preserve"> </w:t>
            </w:r>
            <w:r w:rsidR="00F14DF0">
              <w:rPr>
                <w:rFonts w:ascii="Arial" w:hAnsi="Arial" w:cs="Arial"/>
              </w:rPr>
              <w:t>may serve</w:t>
            </w:r>
            <w:r>
              <w:rPr>
                <w:rFonts w:ascii="Arial" w:hAnsi="Arial" w:cs="Arial"/>
              </w:rPr>
              <w:t xml:space="preserve"> as</w:t>
            </w:r>
            <w:r w:rsidR="00925B06">
              <w:rPr>
                <w:rFonts w:ascii="Arial" w:hAnsi="Arial" w:cs="Arial"/>
              </w:rPr>
              <w:t xml:space="preserve"> the</w:t>
            </w:r>
            <w:r>
              <w:rPr>
                <w:rFonts w:ascii="Arial" w:hAnsi="Arial" w:cs="Arial"/>
              </w:rPr>
              <w:t xml:space="preserve"> primary education contact for the school.</w:t>
            </w:r>
          </w:p>
          <w:p w:rsidR="005826DD" w:rsidRDefault="005826DD" w:rsidP="00F30BBD">
            <w:pPr>
              <w:rPr>
                <w:sz w:val="24"/>
                <w:szCs w:val="24"/>
                <w:highlight w:val="yellow"/>
              </w:rPr>
            </w:pPr>
          </w:p>
          <w:p w:rsidR="000F2CDE" w:rsidRPr="006739C5" w:rsidRDefault="000F2CDE" w:rsidP="006739C5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F30BBD" w:rsidRDefault="00F30BBD" w:rsidP="00F30BBD">
      <w:pPr>
        <w:rPr>
          <w:sz w:val="24"/>
          <w:szCs w:val="24"/>
        </w:rPr>
      </w:pPr>
    </w:p>
    <w:sectPr w:rsidR="00F30BBD" w:rsidSect="00F14DF0">
      <w:pgSz w:w="12240" w:h="15840" w:code="1"/>
      <w:pgMar w:top="806" w:right="1440" w:bottom="806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285" w:rsidRDefault="00261285" w:rsidP="0013502F">
      <w:pPr>
        <w:spacing w:after="0" w:line="240" w:lineRule="auto"/>
      </w:pPr>
      <w:r>
        <w:separator/>
      </w:r>
    </w:p>
  </w:endnote>
  <w:endnote w:type="continuationSeparator" w:id="0">
    <w:p w:rsidR="00261285" w:rsidRDefault="00261285" w:rsidP="0013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52879229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14DF0" w:rsidRPr="00F14DF0" w:rsidRDefault="00F14DF0" w:rsidP="00F14DF0">
            <w:pPr>
              <w:pStyle w:val="Foo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 2085-E</w:t>
            </w:r>
            <w:r>
              <w:rPr>
                <w:sz w:val="18"/>
                <w:szCs w:val="18"/>
              </w:rPr>
              <w:tab/>
            </w:r>
            <w:r w:rsidRPr="00F14DF0">
              <w:rPr>
                <w:sz w:val="18"/>
                <w:szCs w:val="18"/>
              </w:rPr>
              <w:t xml:space="preserve">Page </w:t>
            </w:r>
            <w:r w:rsidRPr="00F14DF0">
              <w:rPr>
                <w:bCs/>
                <w:sz w:val="18"/>
                <w:szCs w:val="18"/>
              </w:rPr>
              <w:fldChar w:fldCharType="begin"/>
            </w:r>
            <w:r w:rsidRPr="00F14DF0">
              <w:rPr>
                <w:bCs/>
                <w:sz w:val="18"/>
                <w:szCs w:val="18"/>
              </w:rPr>
              <w:instrText xml:space="preserve"> PAGE </w:instrText>
            </w:r>
            <w:r w:rsidRPr="00F14DF0">
              <w:rPr>
                <w:bCs/>
                <w:sz w:val="18"/>
                <w:szCs w:val="18"/>
              </w:rPr>
              <w:fldChar w:fldCharType="separate"/>
            </w:r>
            <w:r w:rsidR="00F56CDC">
              <w:rPr>
                <w:bCs/>
                <w:noProof/>
                <w:sz w:val="18"/>
                <w:szCs w:val="18"/>
              </w:rPr>
              <w:t>1</w:t>
            </w:r>
            <w:r w:rsidRPr="00F14DF0">
              <w:rPr>
                <w:bCs/>
                <w:sz w:val="18"/>
                <w:szCs w:val="18"/>
              </w:rPr>
              <w:fldChar w:fldCharType="end"/>
            </w:r>
            <w:r w:rsidRPr="00F14DF0">
              <w:rPr>
                <w:sz w:val="18"/>
                <w:szCs w:val="18"/>
              </w:rPr>
              <w:t xml:space="preserve"> of </w:t>
            </w:r>
            <w:r w:rsidRPr="00F14DF0">
              <w:rPr>
                <w:bCs/>
                <w:sz w:val="18"/>
                <w:szCs w:val="18"/>
              </w:rPr>
              <w:fldChar w:fldCharType="begin"/>
            </w:r>
            <w:r w:rsidRPr="00F14DF0">
              <w:rPr>
                <w:bCs/>
                <w:sz w:val="18"/>
                <w:szCs w:val="18"/>
              </w:rPr>
              <w:instrText xml:space="preserve"> NUMPAGES  </w:instrText>
            </w:r>
            <w:r w:rsidRPr="00F14DF0">
              <w:rPr>
                <w:bCs/>
                <w:sz w:val="18"/>
                <w:szCs w:val="18"/>
              </w:rPr>
              <w:fldChar w:fldCharType="separate"/>
            </w:r>
            <w:r w:rsidR="00F56CDC">
              <w:rPr>
                <w:bCs/>
                <w:noProof/>
                <w:sz w:val="18"/>
                <w:szCs w:val="18"/>
              </w:rPr>
              <w:t>2</w:t>
            </w:r>
            <w:r w:rsidRPr="00F14DF0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ab/>
              <w:t>Sept 2013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285" w:rsidRDefault="00261285" w:rsidP="0013502F">
      <w:pPr>
        <w:spacing w:after="0" w:line="240" w:lineRule="auto"/>
      </w:pPr>
      <w:r>
        <w:separator/>
      </w:r>
    </w:p>
  </w:footnote>
  <w:footnote w:type="continuationSeparator" w:id="0">
    <w:p w:rsidR="00261285" w:rsidRDefault="00261285" w:rsidP="00135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E71"/>
    <w:multiLevelType w:val="hybridMultilevel"/>
    <w:tmpl w:val="3422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833A2"/>
    <w:multiLevelType w:val="hybridMultilevel"/>
    <w:tmpl w:val="12861FCC"/>
    <w:lvl w:ilvl="0" w:tplc="764CD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802E4"/>
    <w:multiLevelType w:val="hybridMultilevel"/>
    <w:tmpl w:val="22A6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63626"/>
    <w:multiLevelType w:val="hybridMultilevel"/>
    <w:tmpl w:val="02C8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45010"/>
    <w:multiLevelType w:val="hybridMultilevel"/>
    <w:tmpl w:val="30689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46732"/>
    <w:multiLevelType w:val="hybridMultilevel"/>
    <w:tmpl w:val="1C60D8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4830A0"/>
    <w:multiLevelType w:val="hybridMultilevel"/>
    <w:tmpl w:val="46EC1776"/>
    <w:lvl w:ilvl="0" w:tplc="4EC2E9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46112"/>
    <w:multiLevelType w:val="hybridMultilevel"/>
    <w:tmpl w:val="92FC6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747E3"/>
    <w:multiLevelType w:val="hybridMultilevel"/>
    <w:tmpl w:val="3E442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0C305C"/>
    <w:multiLevelType w:val="hybridMultilevel"/>
    <w:tmpl w:val="0FEAE534"/>
    <w:lvl w:ilvl="0" w:tplc="B39853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024DCA"/>
    <w:multiLevelType w:val="hybridMultilevel"/>
    <w:tmpl w:val="7040C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230A2"/>
    <w:multiLevelType w:val="hybridMultilevel"/>
    <w:tmpl w:val="60286B96"/>
    <w:lvl w:ilvl="0" w:tplc="6A687B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9"/>
  </w:num>
  <w:num w:numId="5">
    <w:abstractNumId w:val="1"/>
  </w:num>
  <w:num w:numId="6">
    <w:abstractNumId w:val="11"/>
  </w:num>
  <w:num w:numId="7">
    <w:abstractNumId w:val="2"/>
  </w:num>
  <w:num w:numId="8">
    <w:abstractNumId w:val="3"/>
  </w:num>
  <w:num w:numId="9">
    <w:abstractNumId w:val="0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KpeOqCNgsHjro5zGtn5iVnZ7u5c=" w:salt="6f0KjbvkjRftCYUUxpRE0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BBD"/>
    <w:rsid w:val="00080C25"/>
    <w:rsid w:val="000D5A2D"/>
    <w:rsid w:val="000F2CDE"/>
    <w:rsid w:val="0013502F"/>
    <w:rsid w:val="00153D81"/>
    <w:rsid w:val="00187C65"/>
    <w:rsid w:val="001E64DF"/>
    <w:rsid w:val="00245754"/>
    <w:rsid w:val="00260FFA"/>
    <w:rsid w:val="00261285"/>
    <w:rsid w:val="00356CF4"/>
    <w:rsid w:val="003844DB"/>
    <w:rsid w:val="0042155C"/>
    <w:rsid w:val="00440950"/>
    <w:rsid w:val="00447480"/>
    <w:rsid w:val="004D1AC1"/>
    <w:rsid w:val="00502BE4"/>
    <w:rsid w:val="005826DD"/>
    <w:rsid w:val="005F4D43"/>
    <w:rsid w:val="006739C5"/>
    <w:rsid w:val="007044F2"/>
    <w:rsid w:val="00737CA7"/>
    <w:rsid w:val="00826C85"/>
    <w:rsid w:val="008910B2"/>
    <w:rsid w:val="008F249E"/>
    <w:rsid w:val="00925B06"/>
    <w:rsid w:val="00933DCE"/>
    <w:rsid w:val="00992930"/>
    <w:rsid w:val="00996DD5"/>
    <w:rsid w:val="00A11BD9"/>
    <w:rsid w:val="00B01F79"/>
    <w:rsid w:val="00B04417"/>
    <w:rsid w:val="00B37A1C"/>
    <w:rsid w:val="00B65D92"/>
    <w:rsid w:val="00BA58C1"/>
    <w:rsid w:val="00BA61F1"/>
    <w:rsid w:val="00BE28A9"/>
    <w:rsid w:val="00C201BC"/>
    <w:rsid w:val="00CC28BC"/>
    <w:rsid w:val="00D21B80"/>
    <w:rsid w:val="00D2617B"/>
    <w:rsid w:val="00DD46D4"/>
    <w:rsid w:val="00DF47F5"/>
    <w:rsid w:val="00E43145"/>
    <w:rsid w:val="00F14DF0"/>
    <w:rsid w:val="00F30BBD"/>
    <w:rsid w:val="00F56CDC"/>
    <w:rsid w:val="00F64CD1"/>
    <w:rsid w:val="00F721B6"/>
    <w:rsid w:val="00F90964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9E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BBD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F30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5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135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F47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7F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7F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7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7F5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7F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910B2"/>
    <w:pPr>
      <w:spacing w:after="0" w:line="240" w:lineRule="auto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9E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BBD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F30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5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135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F47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7F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7F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7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7F5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7F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910B2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CFD55-3F40-47E4-B243-6FF32C3A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Designation of Education Decision-Maker CPS - instructions</vt:lpstr>
    </vt:vector>
  </TitlesOfParts>
  <Manager>KRISTINE.MOHAJER@dfps.state.tx.us</Manager>
  <Company>DFPS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Designation of Education Decision-Maker CPS - instructions</dc:title>
  <dc:subject>Sept 19, 2013</dc:subject>
  <dc:creator>Mohajer,Kristine (DFPS)</dc:creator>
  <cp:keywords/>
  <dc:description>CPS/Child_P &amp; FBSS &amp; Intake &amp; Kinship</dc:description>
  <cp:lastModifiedBy>Crawford,Rhonda J (DFPS)</cp:lastModifiedBy>
  <cp:revision>2</cp:revision>
  <cp:lastPrinted>2013-09-18T22:43:00Z</cp:lastPrinted>
  <dcterms:created xsi:type="dcterms:W3CDTF">2013-09-24T19:08:00Z</dcterms:created>
  <dcterms:modified xsi:type="dcterms:W3CDTF">2013-09-24T19:08:00Z</dcterms:modified>
</cp:coreProperties>
</file>